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Spready a wymiana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wymianą walut w kantorach internetowych wzrosło szczególnie na początku tego roku, w związku ze skokiem na wartości franka szwajcarskiego. Kredytobiorcy hipoteczni zaczęli intensywnie poszukiwać tańszych rozwiązań spłaty swoich zobowiązań w tej walucie. Niestety w dalszym ciągu duża część osób zadłużonych w obcej walucie biernie pozostaje przy spłacie kredytu, zdając się na wyliczenia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Spread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Kredytobiorcy walutowi zapewne spotkali się z tym pojęciem i teoretycznie wiedzą, co ono oznacza. Jest jeszcze grupa ludzi, która nie ma świadomości, że wiązać się z nim może spora oszczędność na racie kredytu. Najprościej mówiąc </w:t>
      </w:r>
      <w:r>
        <w:rPr>
          <w:rFonts w:ascii="calibri" w:hAnsi="calibri" w:eastAsia="calibri" w:cs="calibri"/>
          <w:sz w:val="24"/>
          <w:szCs w:val="24"/>
          <w:b/>
        </w:rPr>
        <w:t xml:space="preserve">spread to różnica między kursem kupna waluty obcej i kursem jej sprzedaży</w:t>
      </w:r>
      <w:r>
        <w:rPr>
          <w:rFonts w:ascii="calibri" w:hAnsi="calibri" w:eastAsia="calibri" w:cs="calibri"/>
          <w:sz w:val="24"/>
          <w:szCs w:val="24"/>
        </w:rPr>
        <w:t xml:space="preserve">. Bardzo często jest podawany w ujęciu procentowym, jak i liczbowym – mówiąc konkretnie przedstawia on ile zyskuje bank, a z jakim kosztem musi się liczyć klient. Wyliczona różnica wpływa bezpośrednio na wysokość odsetek, czyli im wyższy spread tym kredytobiorca musi zapłacić do banku większą ratę.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Ustawa antyspreadowa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w 2011 roku ustawy </w:t>
      </w:r>
      <w:r>
        <w:rPr>
          <w:rFonts w:ascii="calibri" w:hAnsi="calibri" w:eastAsia="calibri" w:cs="calibri"/>
          <w:sz w:val="24"/>
          <w:szCs w:val="24"/>
          <w:b/>
        </w:rPr>
        <w:t xml:space="preserve">antyspreadowej</w:t>
      </w:r>
      <w:r>
        <w:rPr>
          <w:rFonts w:ascii="calibri" w:hAnsi="calibri" w:eastAsia="calibri" w:cs="calibri"/>
          <w:sz w:val="24"/>
          <w:szCs w:val="24"/>
        </w:rPr>
        <w:t xml:space="preserve"> uwolniło wielu kredytobiorców od spłaty zobowiązań po kursach wyznaczanych przez banki. Dzięki tej regulacji wzrosła popularność kantorów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Umożliwienie osobom posiadającym zadłużenie w walucie obcej samodzielnego podejmowania decyzji o tym, gdzie i kiedy dokona zakupu euro czy franka daje szanse na oszczędzanie sporych kwot. Zwłaszcza, jeśli kredytobiorca zdecyduje się na transakcje w kantorze internetowym – </w:t>
      </w:r>
      <w:r>
        <w:rPr>
          <w:rFonts w:ascii="calibri" w:hAnsi="calibri" w:eastAsia="calibri" w:cs="calibri"/>
          <w:sz w:val="24"/>
          <w:szCs w:val="24"/>
        </w:rPr>
        <w:t xml:space="preserve">zapewnia Aniela Agopsowicz Analityk Rynku Walutowego i Kapitałowego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odpowiednik tradycyjnego, stacjonarnego kantoru oferując dużo lepsze kursy walut niż banki, pozwala klientom zaoszczędzić w skali roku naprawdę spore kwoty. Przekonały się o tym zwłaszcza osoby posiadające kredyt we frankach, który w tym roku umocnił się wobec złotego powodując wzrost zobowiązania wobec kredytodawcy. Analizując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spreadów w ekantorach</w:t>
      </w:r>
      <w:r>
        <w:rPr>
          <w:rFonts w:ascii="calibri" w:hAnsi="calibri" w:eastAsia="calibri" w:cs="calibri"/>
          <w:sz w:val="24"/>
          <w:szCs w:val="24"/>
        </w:rPr>
        <w:t xml:space="preserve"> i placówkach finansowych okazuje się, że w tych pierwszych są one zdecydowanie niższe. Rosnąca liczba kantorów internetowych na polskim rynku powoduje, że walka o klienta sprowadza spready do minimalnego poziomu, czasami nawet dochodzącego do 1-2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zachęcająco. Z uwagi na dużą oszczędność oraz bardzo dostępny i wygodny sposób dokonywania transakcji kantory internetowe stanowią bardzo atrakcyjną, alternatywną drogę do zakupu walut.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2025-12-11T06:39:43+01:00</dcterms:created>
  <dcterms:modified xsi:type="dcterms:W3CDTF">2025-12-11T06:39:43+01:00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